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白石山林区基层</w:t>
      </w:r>
      <w:r>
        <w:rPr>
          <w:rFonts w:asciiTheme="majorEastAsia" w:hAnsiTheme="majorEastAsia" w:eastAsiaTheme="majorEastAsia"/>
          <w:b/>
          <w:sz w:val="44"/>
          <w:szCs w:val="44"/>
        </w:rPr>
        <w:t>法院</w:t>
      </w:r>
    </w:p>
    <w:p>
      <w:pPr>
        <w:spacing w:line="58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2021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年上半年司法统计分析报告</w:t>
      </w:r>
    </w:p>
    <w:p>
      <w:pPr>
        <w:spacing w:line="58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80" w:lineRule="exact"/>
        <w:ind w:firstLine="63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sz w:val="32"/>
          <w:szCs w:val="32"/>
        </w:rPr>
        <w:t>年上半年，我院共受理各类案件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157</w:t>
      </w:r>
      <w:r>
        <w:rPr>
          <w:rFonts w:hint="eastAsia" w:ascii="仿宋_GB2312" w:hAnsi="仿宋" w:eastAsia="仿宋_GB2312"/>
          <w:sz w:val="32"/>
          <w:szCs w:val="32"/>
        </w:rPr>
        <w:t>件，其中刑事诉讼案件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sz w:val="32"/>
          <w:szCs w:val="32"/>
        </w:rPr>
        <w:t>件，民事诉讼案件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104</w:t>
      </w:r>
      <w:r>
        <w:rPr>
          <w:rFonts w:hint="eastAsia" w:ascii="仿宋_GB2312" w:hAnsi="仿宋" w:eastAsia="仿宋_GB2312"/>
          <w:sz w:val="32"/>
          <w:szCs w:val="32"/>
        </w:rPr>
        <w:t>件，行政诉讼案件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件，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非诉保全案件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3件，</w:t>
      </w:r>
      <w:r>
        <w:rPr>
          <w:rFonts w:hint="eastAsia" w:ascii="仿宋_GB2312" w:hAnsi="仿宋" w:eastAsia="仿宋_GB2312"/>
          <w:sz w:val="32"/>
          <w:szCs w:val="32"/>
        </w:rPr>
        <w:t>执行案件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" w:eastAsia="仿宋_GB2312"/>
          <w:sz w:val="32"/>
          <w:szCs w:val="32"/>
        </w:rPr>
        <w:t>件。审（执）结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151</w:t>
      </w:r>
      <w:r>
        <w:rPr>
          <w:rFonts w:hint="eastAsia" w:ascii="仿宋_GB2312" w:hAnsi="仿宋" w:eastAsia="仿宋_GB2312"/>
          <w:sz w:val="32"/>
          <w:szCs w:val="32"/>
        </w:rPr>
        <w:t>件，其中审结刑事诉讼案件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sz w:val="32"/>
          <w:szCs w:val="32"/>
        </w:rPr>
        <w:t>件，民事诉讼案件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98</w:t>
      </w:r>
      <w:r>
        <w:rPr>
          <w:rFonts w:hint="eastAsia" w:ascii="仿宋_GB2312" w:hAnsi="仿宋" w:eastAsia="仿宋_GB2312"/>
          <w:sz w:val="32"/>
          <w:szCs w:val="32"/>
        </w:rPr>
        <w:t>件，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非诉保全案件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3件，</w:t>
      </w:r>
      <w:r>
        <w:rPr>
          <w:rFonts w:hint="eastAsia" w:ascii="仿宋_GB2312" w:hAnsi="仿宋" w:eastAsia="仿宋_GB2312"/>
          <w:sz w:val="32"/>
          <w:szCs w:val="32"/>
        </w:rPr>
        <w:t>行政诉讼案件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件，执结执行案件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" w:eastAsia="仿宋_GB2312"/>
          <w:sz w:val="32"/>
          <w:szCs w:val="32"/>
        </w:rPr>
        <w:t>件，上半年结案率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96.18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pStyle w:val="6"/>
        <w:numPr>
          <w:ilvl w:val="0"/>
          <w:numId w:val="1"/>
        </w:numPr>
        <w:spacing w:line="580" w:lineRule="exact"/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受案情况分析</w:t>
      </w:r>
    </w:p>
    <w:p>
      <w:pPr>
        <w:spacing w:line="580" w:lineRule="exact"/>
        <w:ind w:firstLine="63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sz w:val="32"/>
          <w:szCs w:val="32"/>
        </w:rPr>
        <w:t>年上半年，我院受理各类案件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157</w:t>
      </w:r>
      <w:r>
        <w:rPr>
          <w:rFonts w:hint="eastAsia" w:ascii="仿宋_GB2312" w:hAnsi="仿宋" w:eastAsia="仿宋_GB2312"/>
          <w:sz w:val="32"/>
          <w:szCs w:val="32"/>
        </w:rPr>
        <w:t>件，比去年同期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件，案件量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上升</w:t>
      </w:r>
      <w:r>
        <w:rPr>
          <w:rFonts w:hint="eastAsia" w:ascii="仿宋_GB2312" w:hAnsi="仿宋" w:eastAsia="仿宋_GB2312"/>
          <w:sz w:val="32"/>
          <w:szCs w:val="32"/>
        </w:rPr>
        <w:t>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21.71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1、受理刑事诉讼案件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sz w:val="32"/>
          <w:szCs w:val="32"/>
        </w:rPr>
        <w:t>件，比去年同期减少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件，案件量下降了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2、受理民事诉讼案件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104</w:t>
      </w:r>
      <w:r>
        <w:rPr>
          <w:rFonts w:hint="eastAsia" w:ascii="仿宋_GB2312" w:hAnsi="仿宋" w:eastAsia="仿宋_GB2312"/>
          <w:sz w:val="32"/>
          <w:szCs w:val="32"/>
        </w:rPr>
        <w:t>件，比去年同期增加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件，案件量上升了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23.81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spacing w:line="580" w:lineRule="exact"/>
        <w:ind w:firstLine="645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3、受理行政诉讼案件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件，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和去年同期相同。</w:t>
      </w:r>
    </w:p>
    <w:p>
      <w:pPr>
        <w:spacing w:line="58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、受理执行案件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" w:eastAsia="仿宋_GB2312"/>
          <w:sz w:val="32"/>
          <w:szCs w:val="32"/>
        </w:rPr>
        <w:t>件，比去年同期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件，案件量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上升</w:t>
      </w:r>
      <w:r>
        <w:rPr>
          <w:rFonts w:hint="eastAsia" w:ascii="仿宋_GB2312" w:hAnsi="仿宋" w:eastAsia="仿宋_GB2312"/>
          <w:sz w:val="32"/>
          <w:szCs w:val="32"/>
        </w:rPr>
        <w:t>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60.87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pStyle w:val="6"/>
        <w:numPr>
          <w:ilvl w:val="0"/>
          <w:numId w:val="1"/>
        </w:numPr>
        <w:spacing w:line="580" w:lineRule="exact"/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结案情况分析</w:t>
      </w:r>
    </w:p>
    <w:p>
      <w:pPr>
        <w:spacing w:line="580" w:lineRule="exact"/>
        <w:ind w:firstLine="63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sz w:val="32"/>
          <w:szCs w:val="32"/>
        </w:rPr>
        <w:t>年上半年，我院审（执）结各类案件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151</w:t>
      </w:r>
      <w:r>
        <w:rPr>
          <w:rFonts w:hint="eastAsia" w:ascii="仿宋_GB2312" w:hAnsi="仿宋" w:eastAsia="仿宋_GB2312"/>
          <w:sz w:val="32"/>
          <w:szCs w:val="32"/>
        </w:rPr>
        <w:t>件，比去年同期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52</w:t>
      </w:r>
      <w:r>
        <w:rPr>
          <w:rFonts w:hint="eastAsia" w:ascii="仿宋_GB2312" w:hAnsi="仿宋" w:eastAsia="仿宋_GB2312"/>
          <w:sz w:val="32"/>
          <w:szCs w:val="32"/>
        </w:rPr>
        <w:t>件，案件同比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上升</w:t>
      </w:r>
      <w:r>
        <w:rPr>
          <w:rFonts w:hint="eastAsia" w:ascii="仿宋_GB2312" w:hAnsi="仿宋" w:eastAsia="仿宋_GB2312"/>
          <w:sz w:val="32"/>
          <w:szCs w:val="32"/>
        </w:rPr>
        <w:t>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52.53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spacing w:line="580" w:lineRule="exact"/>
        <w:ind w:firstLine="63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1、刑事案件结案情况：审结刑事案件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sz w:val="32"/>
          <w:szCs w:val="32"/>
        </w:rPr>
        <w:t>件，比去年同期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件减少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件，案件同比下降了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2、民事案件结案情况：审结民事案件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98</w:t>
      </w:r>
      <w:r>
        <w:rPr>
          <w:rFonts w:hint="eastAsia" w:ascii="仿宋_GB2312" w:hAnsi="仿宋" w:eastAsia="仿宋_GB2312"/>
          <w:sz w:val="32"/>
          <w:szCs w:val="32"/>
        </w:rPr>
        <w:t>件，比去年同期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58</w:t>
      </w:r>
      <w:r>
        <w:rPr>
          <w:rFonts w:hint="eastAsia" w:ascii="仿宋_GB2312" w:hAnsi="仿宋" w:eastAsia="仿宋_GB2312"/>
          <w:sz w:val="32"/>
          <w:szCs w:val="32"/>
        </w:rPr>
        <w:t>件增长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" w:eastAsia="仿宋_GB2312"/>
          <w:sz w:val="32"/>
          <w:szCs w:val="32"/>
        </w:rPr>
        <w:t>件，案件同比上升了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68.97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spacing w:line="580" w:lineRule="exact"/>
        <w:ind w:firstLine="63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3、行政案件结案情况：审结行政案件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件，比去年同期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件，案件同比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持平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80" w:lineRule="exact"/>
        <w:ind w:firstLine="63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、执行案件结案情况：执结执行案件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" w:eastAsia="仿宋_GB2312"/>
          <w:sz w:val="32"/>
          <w:szCs w:val="32"/>
        </w:rPr>
        <w:t>件，比去年同期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/>
          <w:sz w:val="32"/>
          <w:szCs w:val="32"/>
        </w:rPr>
        <w:t>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/>
          <w:sz w:val="32"/>
          <w:szCs w:val="32"/>
        </w:rPr>
        <w:t>件，案件同比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94.74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pStyle w:val="6"/>
        <w:numPr>
          <w:ilvl w:val="0"/>
          <w:numId w:val="0"/>
        </w:numPr>
        <w:spacing w:line="580" w:lineRule="exact"/>
        <w:ind w:left="630" w:left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调撤率情况</w:t>
      </w:r>
    </w:p>
    <w:p>
      <w:pPr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sz w:val="32"/>
          <w:szCs w:val="32"/>
        </w:rPr>
        <w:t>年上半年调撤率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66.67</w:t>
      </w:r>
      <w:r>
        <w:rPr>
          <w:rFonts w:hint="eastAsia" w:ascii="仿宋_GB2312" w:hAnsi="仿宋" w:eastAsia="仿宋_GB2312"/>
          <w:sz w:val="32"/>
          <w:szCs w:val="32"/>
        </w:rPr>
        <w:t>%，比去年同期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48.75%</w:t>
      </w:r>
      <w:r>
        <w:rPr>
          <w:rFonts w:hint="eastAsia" w:ascii="仿宋_GB2312" w:hAnsi="仿宋" w:eastAsia="仿宋_GB2312"/>
          <w:sz w:val="32"/>
          <w:szCs w:val="32"/>
        </w:rPr>
        <w:t>相比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上升</w:t>
      </w:r>
      <w:r>
        <w:rPr>
          <w:rFonts w:hint="eastAsia" w:ascii="仿宋_GB2312" w:hAnsi="仿宋" w:eastAsia="仿宋_GB2312"/>
          <w:sz w:val="32"/>
          <w:szCs w:val="32"/>
        </w:rPr>
        <w:t>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17.92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pStyle w:val="6"/>
        <w:numPr>
          <w:ilvl w:val="0"/>
          <w:numId w:val="0"/>
        </w:numPr>
        <w:spacing w:line="580" w:lineRule="exact"/>
        <w:ind w:left="630" w:leftChars="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一审服判息诉率情况</w:t>
      </w:r>
    </w:p>
    <w:p>
      <w:pPr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sz w:val="32"/>
          <w:szCs w:val="32"/>
        </w:rPr>
        <w:t>年上半年我院息诉服判率100%，与去年同期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88.46%</w:t>
      </w:r>
      <w:r>
        <w:rPr>
          <w:rFonts w:hint="eastAsia" w:ascii="仿宋_GB2312" w:hAnsi="仿宋" w:eastAsia="仿宋_GB2312"/>
          <w:sz w:val="32"/>
          <w:szCs w:val="32"/>
        </w:rPr>
        <w:t>相比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sz w:val="32"/>
          <w:szCs w:val="32"/>
        </w:rPr>
        <w:t>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11.54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pStyle w:val="6"/>
        <w:numPr>
          <w:ilvl w:val="0"/>
          <w:numId w:val="1"/>
        </w:numPr>
        <w:spacing w:line="580" w:lineRule="exact"/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生效案件申请再审、申诉率情况</w:t>
      </w:r>
    </w:p>
    <w:p>
      <w:pPr>
        <w:spacing w:line="580" w:lineRule="exact"/>
        <w:ind w:firstLine="63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sz w:val="32"/>
          <w:szCs w:val="32"/>
        </w:rPr>
        <w:t>年上半年我院生效案件申请再审、申诉案件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件，生效案件申请再审、申诉率达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0.97</w:t>
      </w:r>
      <w:r>
        <w:rPr>
          <w:rFonts w:hint="eastAsia" w:ascii="仿宋_GB2312" w:hAnsi="仿宋" w:eastAsia="仿宋_GB2312"/>
          <w:sz w:val="32"/>
          <w:szCs w:val="32"/>
        </w:rPr>
        <w:t>%，与去年同期相比上升了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0.97%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80" w:lineRule="exact"/>
        <w:ind w:left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七、各类案件呈现的特点</w:t>
      </w:r>
    </w:p>
    <w:p>
      <w:pPr>
        <w:spacing w:line="580" w:lineRule="exact"/>
        <w:ind w:firstLine="63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经对我院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sz w:val="32"/>
          <w:szCs w:val="32"/>
        </w:rPr>
        <w:t>年上半年收结案情况统计分析，各类案件呈现的基本特点：除民事案件、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执行</w:t>
      </w:r>
      <w:r>
        <w:rPr>
          <w:rFonts w:hint="eastAsia" w:ascii="仿宋_GB2312" w:hAnsi="仿宋" w:eastAsia="仿宋_GB2312"/>
          <w:sz w:val="32"/>
          <w:szCs w:val="32"/>
        </w:rPr>
        <w:t>案件收案上升，刑事案件、行政案件结案数呈下降趋势，此项与此类案件收案数下降有关。案件调撤率、一审服判息诉率呈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上升</w:t>
      </w:r>
      <w:r>
        <w:rPr>
          <w:rFonts w:hint="eastAsia" w:ascii="仿宋_GB2312" w:hAnsi="仿宋" w:eastAsia="仿宋_GB2312"/>
          <w:sz w:val="32"/>
          <w:szCs w:val="32"/>
        </w:rPr>
        <w:t>趋势。生效案件申请再审、申诉率居高不下且呈上升趋势。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0069B0"/>
    <w:multiLevelType w:val="multilevel"/>
    <w:tmpl w:val="530069B0"/>
    <w:lvl w:ilvl="0" w:tentative="0">
      <w:start w:val="1"/>
      <w:numFmt w:val="japaneseCounting"/>
      <w:lvlText w:val="%1、"/>
      <w:lvlJc w:val="left"/>
      <w:pPr>
        <w:ind w:left="1350" w:hanging="720"/>
      </w:pPr>
      <w:rPr>
        <w:rFonts w:hint="default" w:ascii="黑体" w:hAnsi="黑体" w:eastAsia="黑体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D0"/>
    <w:rsid w:val="000B578A"/>
    <w:rsid w:val="00295EC8"/>
    <w:rsid w:val="00314FD9"/>
    <w:rsid w:val="003358DF"/>
    <w:rsid w:val="003C06DD"/>
    <w:rsid w:val="003D6060"/>
    <w:rsid w:val="00461453"/>
    <w:rsid w:val="00474DBA"/>
    <w:rsid w:val="0059475F"/>
    <w:rsid w:val="005A53ED"/>
    <w:rsid w:val="005B0C40"/>
    <w:rsid w:val="005B2F55"/>
    <w:rsid w:val="005F6BFA"/>
    <w:rsid w:val="00755F74"/>
    <w:rsid w:val="007914BE"/>
    <w:rsid w:val="007D305B"/>
    <w:rsid w:val="00812845"/>
    <w:rsid w:val="008C5CB4"/>
    <w:rsid w:val="009F5E5E"/>
    <w:rsid w:val="00A61A1B"/>
    <w:rsid w:val="00B44584"/>
    <w:rsid w:val="00B55494"/>
    <w:rsid w:val="00BC0512"/>
    <w:rsid w:val="00C607C7"/>
    <w:rsid w:val="00D15F44"/>
    <w:rsid w:val="00D47A5C"/>
    <w:rsid w:val="00DA12D0"/>
    <w:rsid w:val="00DA5F0D"/>
    <w:rsid w:val="00F03F85"/>
    <w:rsid w:val="00F40BA1"/>
    <w:rsid w:val="2E8E7EE2"/>
    <w:rsid w:val="5313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172</Words>
  <Characters>987</Characters>
  <Lines>8</Lines>
  <Paragraphs>2</Paragraphs>
  <TotalTime>21</TotalTime>
  <ScaleCrop>false</ScaleCrop>
  <LinksUpToDate>false</LinksUpToDate>
  <CharactersWithSpaces>1157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2020-10-26T03:19:00Z</dcterms:created>
  <dc:creator>Windows 用户</dc:creator>
  <cp:lastModifiedBy>Administrator</cp:lastModifiedBy>
  <dcterms:modified xsi:type="dcterms:W3CDTF">2021-11-01T12:09:17Z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8355D0C503E845C4B1B93ED1696332B0</vt:lpwstr>
  </property>
</Properties>
</file>