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  <w:bdr w:val="none" w:color="auto" w:sz="0" w:space="0"/>
          <w:shd w:val="clear" w:fill="FFFFFF"/>
          <w:lang w:eastAsia="zh-CN"/>
        </w:rPr>
        <w:t>白石山林区基层法院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1"/>
          <w:sz w:val="28"/>
          <w:szCs w:val="28"/>
          <w:bdr w:val="none" w:color="auto" w:sz="0" w:space="0"/>
          <w:shd w:val="clear" w:fill="FFFFFF"/>
        </w:rPr>
        <w:t>法院 2021年1-8月审判工作运行态势分析报告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在对标全省中级法院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年度审判绩效考核主要数据指标，综合研判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白石山林区基层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1-8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月审判数据的基础上，形成本分析报告。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一、审判数据情况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（一）收结案总体情况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总体情况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1-8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月，白石山林区基层法院受案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246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20.59%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，结案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237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20.30%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人均受理、审结案件情况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白石山林区基层法院人均受案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49.20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件，人均结案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47.40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（二）审判效率情况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白石山林区基层法院结案率为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96.34%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，同比降低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0.23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法定审限内结案率为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100%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。旧存未结案件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件，旧存案件占比为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0.00%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，已完成旧存案件清理工作。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白石山林区基层法院一审案件简易程序适用率为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96.83%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8.17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个百分点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平均审理天数为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8.7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天，同比缩短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14.9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二、审判运行态势综合分析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白石山林区基层法院一审案件简易程序适用率同比增长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8.17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个百分点，增幅较大。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下一步工作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计划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2021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/>
        </w:rPr>
        <w:t>1-8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白石山林区基层法院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审判工作各指标虽有不同幅度的波动，但总体审判运行态势趋于平稳，在接下来的工作中，要紧密结合即将开展的政法教育整顿活动，抓好执法办案工作，促进审判执行工作良性运转。结合即将开展的政法教育整顿活动，进一步细化审判权责清单，全面落实办案责任、监管责任、指导责任。严格执行院庭长监管、“一岗双责”、“一案双查”等制度，健全完善督责、考责、追责制度机制，坚持以审判执行态势分析、审判质效主要指标等审判数据为抓手，实时跟踪掌握审判各方面情况，精准查找问题症结，加强对下指导力度、准度，确保审判执行工作高效运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0C4FD5"/>
    <w:multiLevelType w:val="singleLevel"/>
    <w:tmpl w:val="AC0C4FD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7D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2021-11-01T10:48:13Z</dcterms:created>
  <dc:creator>Administrator</dc:creator>
  <cp:lastModifiedBy>Administrator</cp:lastModifiedBy>
  <dcterms:modified xsi:type="dcterms:W3CDTF">2021-11-01T10:54:24Z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F51CF6F38024436CBF52A8E369D1A446</vt:lpwstr>
  </property>
</Properties>
</file>