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2019年上半年白石山林区基层法院</w:t>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审判运行态势分析报告</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根据法官服务工作平台中数据集中管理平台提取的白石山林区基层法院办案数据和执行质效管理与分析系统提取的白石山林区基层法院执行案件数据，我院对2019年1月1日至6月30日审判执行工作进行了汇总分析。现通报如下：</w:t>
      </w:r>
    </w:p>
    <w:p>
      <w:pPr>
        <w:ind w:firstLine="640" w:firstLineChars="200"/>
        <w:rPr>
          <w:rFonts w:ascii="仿宋" w:hAnsi="仿宋" w:eastAsia="仿宋"/>
          <w:sz w:val="32"/>
          <w:szCs w:val="32"/>
        </w:rPr>
      </w:pPr>
      <w:r>
        <w:rPr>
          <w:rFonts w:hint="eastAsia" w:ascii="仿宋" w:hAnsi="仿宋" w:eastAsia="仿宋"/>
          <w:sz w:val="32"/>
          <w:szCs w:val="32"/>
        </w:rPr>
        <w:t>一、白石山林区基层法院审判执行工作总体情况</w:t>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2019年上半年我院旧存各类案件18件, 新收111件，旧存加新收合计129件，结案99件，结案率76.74；截</w:t>
      </w:r>
      <w:r>
        <w:rPr>
          <w:rFonts w:hint="eastAsia" w:ascii="仿宋" w:hAnsi="仿宋" w:eastAsia="仿宋"/>
          <w:color w:val="000000" w:themeColor="text1"/>
          <w:sz w:val="32"/>
          <w:szCs w:val="32"/>
        </w:rPr>
        <w:t>至2019年6月30日，未结案件30件。</w:t>
      </w:r>
    </w:p>
    <w:p>
      <w:pPr>
        <w:ind w:firstLine="640" w:firstLineChars="200"/>
        <w:rPr>
          <w:rFonts w:ascii="仿宋" w:hAnsi="仿宋" w:eastAsia="仿宋"/>
          <w:sz w:val="32"/>
          <w:szCs w:val="32"/>
        </w:rPr>
      </w:pPr>
      <w:r>
        <w:rPr>
          <w:rFonts w:hint="eastAsia" w:ascii="仿宋" w:hAnsi="仿宋" w:eastAsia="仿宋"/>
          <w:sz w:val="32"/>
          <w:szCs w:val="32"/>
        </w:rPr>
        <w:t>2019年上半年与2018年上半年相比，旧存增加13件，上升260%；新收增加60件，上升117.65%；旧存加新收合计增加73件，上升130.36%；结案增加55件，上升125%；结案率下降1.83个百分点。未结案件增加18件，上升150%。2019年上半年白石山林区基层法院案件收结存数量同比情况如图1所示。（2018年上半年旧存5件，新收51件，已结44件，未结12件。2019年上半年旧存18件，新收111件，已结99件，未结30件。）</w:t>
      </w:r>
    </w:p>
    <w:p>
      <w:pPr>
        <w:ind w:firstLine="640" w:firstLineChars="200"/>
        <w:jc w:val="center"/>
        <w:rPr>
          <w:rFonts w:ascii="仿宋" w:hAnsi="仿宋" w:eastAsia="仿宋"/>
          <w:sz w:val="32"/>
          <w:szCs w:val="32"/>
        </w:rPr>
      </w:pPr>
      <w:r>
        <w:rPr>
          <w:rFonts w:hint="eastAsia" w:ascii="仿宋" w:hAnsi="仿宋" w:eastAsia="仿宋"/>
          <w:sz w:val="32"/>
          <w:szCs w:val="32"/>
        </w:rPr>
        <w:t>图1白石山林区基层法院案件收结存数量同比情况</w:t>
      </w:r>
    </w:p>
    <w:p>
      <w:pPr>
        <w:ind w:firstLine="640" w:firstLineChars="200"/>
        <w:jc w:val="center"/>
        <w:rPr>
          <w:rFonts w:ascii="仿宋" w:hAnsi="仿宋" w:eastAsia="仿宋"/>
          <w:sz w:val="32"/>
          <w:szCs w:val="32"/>
        </w:rPr>
      </w:pPr>
      <w:r>
        <w:rPr>
          <w:rFonts w:hint="eastAsia" w:ascii="仿宋" w:hAnsi="仿宋" w:eastAsia="仿宋"/>
          <w:sz w:val="32"/>
          <w:szCs w:val="32"/>
        </w:rPr>
        <w:t>（单位：件）</w:t>
      </w:r>
    </w:p>
    <w:p>
      <w:pPr>
        <w:rPr>
          <w:rFonts w:ascii="仿宋" w:hAnsi="仿宋" w:eastAsia="仿宋"/>
          <w:sz w:val="32"/>
          <w:szCs w:val="32"/>
        </w:rPr>
      </w:pPr>
      <w:r>
        <w:rPr>
          <w:rFonts w:ascii="仿宋" w:hAnsi="仿宋" w:eastAsia="仿宋"/>
          <w:sz w:val="32"/>
          <w:szCs w:val="32"/>
        </w:rPr>
        <w:drawing>
          <wp:inline distT="0" distB="0" distL="0" distR="0">
            <wp:extent cx="5259070" cy="2375535"/>
            <wp:effectExtent l="19050" t="0" r="17318" b="5196"/>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640" w:firstLineChars="200"/>
        <w:rPr>
          <w:rFonts w:ascii="仿宋" w:hAnsi="仿宋" w:eastAsia="仿宋"/>
          <w:sz w:val="32"/>
          <w:szCs w:val="32"/>
        </w:rPr>
      </w:pPr>
      <w:r>
        <w:rPr>
          <w:rFonts w:hint="eastAsia" w:ascii="仿宋" w:hAnsi="仿宋" w:eastAsia="仿宋"/>
          <w:sz w:val="32"/>
          <w:szCs w:val="32"/>
        </w:rPr>
        <w:t>2019年上半年我院案结收比（已结案件数/新收案件数）为89.19%，相比2018年上半年的86.27%，上升2.92个百分点。上升的主要原因是2019年上半年我院院领导高度重视结收比情况，每月都进行结收比调度。</w:t>
      </w:r>
    </w:p>
    <w:p>
      <w:pPr>
        <w:ind w:firstLine="640" w:firstLineChars="200"/>
        <w:rPr>
          <w:rFonts w:ascii="仿宋" w:hAnsi="仿宋" w:eastAsia="仿宋"/>
          <w:sz w:val="32"/>
          <w:szCs w:val="32"/>
        </w:rPr>
      </w:pPr>
      <w:r>
        <w:rPr>
          <w:rFonts w:hint="eastAsia" w:ascii="仿宋" w:hAnsi="仿宋" w:eastAsia="仿宋"/>
          <w:sz w:val="32"/>
          <w:szCs w:val="32"/>
        </w:rPr>
        <w:t>二、白石山林区基层法院审判工作总体情况</w:t>
      </w:r>
    </w:p>
    <w:p>
      <w:pPr>
        <w:ind w:firstLine="640" w:firstLineChars="200"/>
        <w:rPr>
          <w:rFonts w:ascii="仿宋" w:hAnsi="仿宋" w:eastAsia="仿宋"/>
          <w:sz w:val="32"/>
          <w:szCs w:val="32"/>
        </w:rPr>
      </w:pPr>
      <w:r>
        <w:rPr>
          <w:rFonts w:hint="eastAsia" w:ascii="仿宋" w:hAnsi="仿宋" w:eastAsia="仿宋"/>
          <w:sz w:val="32"/>
          <w:szCs w:val="32"/>
        </w:rPr>
        <w:t>2019年上半年，我院旧存审判类案件11件，新收95件，旧存加新收合计106件，结案80件，结案率75.47%；截至2019年6月30日，未结案件26件。</w:t>
      </w:r>
    </w:p>
    <w:p>
      <w:pPr>
        <w:ind w:firstLine="640" w:firstLineChars="200"/>
        <w:rPr>
          <w:rFonts w:ascii="仿宋" w:hAnsi="仿宋" w:eastAsia="仿宋"/>
          <w:sz w:val="32"/>
          <w:szCs w:val="32"/>
        </w:rPr>
      </w:pPr>
      <w:r>
        <w:rPr>
          <w:rFonts w:hint="eastAsia" w:ascii="仿宋" w:hAnsi="仿宋" w:eastAsia="仿宋"/>
          <w:sz w:val="32"/>
          <w:szCs w:val="32"/>
        </w:rPr>
        <w:t>2019年上半年与2018年上半年相比，审判类案件旧存增加7件，上升175%；新收增加54件，上升131.71%；旧存加新收合计增加61件，上升135.56%；结案上升45件，上升128.57%；结案率下降2.31个百分点；未结案件增加16件，上升160%。2019年上半年白石山林区基层法院审判类案件收结存数量同比情况如图2所示。（2018年上半年旧存案件4件，新收41件，已结35件，未结10件，结案率77.78%；2019年上半年旧存案件11件，新收95件，已结80件，未结26件，结案率75.47%）</w:t>
      </w:r>
    </w:p>
    <w:p>
      <w:pPr>
        <w:rPr>
          <w:rFonts w:ascii="仿宋" w:hAnsi="仿宋" w:eastAsia="仿宋"/>
          <w:sz w:val="32"/>
          <w:szCs w:val="32"/>
        </w:rPr>
      </w:pPr>
      <w:r>
        <w:rPr>
          <w:rFonts w:hint="eastAsia" w:ascii="仿宋" w:hAnsi="仿宋" w:eastAsia="仿宋"/>
          <w:sz w:val="32"/>
          <w:szCs w:val="32"/>
        </w:rPr>
        <w:t>图2白石山林区基层法院审判类案件收结存数量同比情况</w:t>
      </w:r>
    </w:p>
    <w:p>
      <w:pPr>
        <w:ind w:firstLine="640" w:firstLineChars="200"/>
        <w:jc w:val="center"/>
        <w:rPr>
          <w:rFonts w:ascii="仿宋" w:hAnsi="仿宋" w:eastAsia="仿宋"/>
          <w:sz w:val="32"/>
          <w:szCs w:val="32"/>
        </w:rPr>
      </w:pPr>
      <w:r>
        <w:rPr>
          <w:rFonts w:hint="eastAsia" w:ascii="仿宋" w:hAnsi="仿宋" w:eastAsia="仿宋"/>
          <w:sz w:val="32"/>
          <w:szCs w:val="32"/>
        </w:rPr>
        <w:t>（单位：件）</w:t>
      </w:r>
    </w:p>
    <w:p>
      <w:pPr>
        <w:ind w:firstLine="640" w:firstLineChars="200"/>
        <w:rPr>
          <w:rFonts w:ascii="仿宋" w:hAnsi="仿宋" w:eastAsia="仿宋"/>
          <w:sz w:val="32"/>
          <w:szCs w:val="32"/>
        </w:rPr>
      </w:pPr>
      <w:r>
        <w:rPr>
          <w:rFonts w:ascii="仿宋" w:hAnsi="仿宋" w:eastAsia="仿宋"/>
          <w:sz w:val="32"/>
          <w:szCs w:val="32"/>
        </w:rPr>
        <w:drawing>
          <wp:inline distT="0" distB="0" distL="0" distR="0">
            <wp:extent cx="4613275" cy="2380615"/>
            <wp:effectExtent l="19050" t="0" r="15815" b="36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rPr>
          <w:rFonts w:ascii="仿宋" w:hAnsi="仿宋" w:eastAsia="仿宋"/>
          <w:sz w:val="32"/>
          <w:szCs w:val="32"/>
        </w:rPr>
      </w:pPr>
      <w:r>
        <w:rPr>
          <w:rFonts w:hint="eastAsia" w:ascii="仿宋" w:hAnsi="仿宋" w:eastAsia="仿宋"/>
          <w:sz w:val="32"/>
          <w:szCs w:val="32"/>
        </w:rPr>
        <w:t>2019年上半年我院审判类案件结案率为75.47%，与2018年上半年的77.78%相比，下降2.31个百分点。</w:t>
      </w:r>
    </w:p>
    <w:p>
      <w:pPr>
        <w:ind w:firstLine="640" w:firstLineChars="200"/>
        <w:rPr>
          <w:rFonts w:ascii="仿宋" w:hAnsi="仿宋" w:eastAsia="仿宋"/>
          <w:sz w:val="32"/>
          <w:szCs w:val="32"/>
        </w:rPr>
      </w:pPr>
      <w:r>
        <w:rPr>
          <w:rFonts w:hint="eastAsia" w:ascii="仿宋" w:hAnsi="仿宋" w:eastAsia="仿宋"/>
          <w:sz w:val="32"/>
          <w:szCs w:val="32"/>
        </w:rPr>
        <w:t>2019年上半年我院审判类案件结收比（已结案件数/新收案件数）为84.21%，相比2018年上半年的85.37的结收比，下降1.16个百分点。</w:t>
      </w:r>
    </w:p>
    <w:p>
      <w:pPr>
        <w:ind w:firstLine="800" w:firstLineChars="250"/>
        <w:rPr>
          <w:rFonts w:ascii="仿宋" w:hAnsi="仿宋" w:eastAsia="仿宋"/>
          <w:sz w:val="32"/>
          <w:szCs w:val="32"/>
        </w:rPr>
      </w:pPr>
      <w:r>
        <w:rPr>
          <w:rFonts w:hint="eastAsia" w:ascii="仿宋" w:hAnsi="仿宋" w:eastAsia="仿宋"/>
          <w:sz w:val="32"/>
          <w:szCs w:val="32"/>
        </w:rPr>
        <w:t>2019年上半年我院各主要类型案件平均审理时长为：民事一审案件33.6天，刑事一审案件16.2天。与其他林区法院相比，我院民事案件审限较长，在今后的工作中要尽量缩短审限。</w:t>
      </w:r>
    </w:p>
    <w:p>
      <w:pPr>
        <w:jc w:val="center"/>
        <w:rPr>
          <w:rFonts w:ascii="仿宋" w:hAnsi="仿宋" w:eastAsia="仿宋"/>
          <w:sz w:val="32"/>
          <w:szCs w:val="32"/>
        </w:rPr>
      </w:pPr>
      <w:r>
        <w:rPr>
          <w:rFonts w:hint="eastAsia" w:ascii="仿宋" w:hAnsi="仿宋" w:eastAsia="仿宋"/>
          <w:sz w:val="32"/>
          <w:szCs w:val="32"/>
        </w:rPr>
        <w:t>图3 白石山林区基层法院主要类型案件平均审理时长</w:t>
      </w:r>
    </w:p>
    <w:p>
      <w:pPr>
        <w:jc w:val="center"/>
        <w:rPr>
          <w:rFonts w:ascii="仿宋" w:hAnsi="仿宋" w:eastAsia="仿宋"/>
          <w:sz w:val="32"/>
          <w:szCs w:val="32"/>
        </w:rPr>
      </w:pPr>
      <w:r>
        <w:rPr>
          <w:rFonts w:hint="eastAsia" w:ascii="仿宋" w:hAnsi="仿宋" w:eastAsia="仿宋"/>
          <w:sz w:val="32"/>
          <w:szCs w:val="32"/>
        </w:rPr>
        <w:t>（单位：天）</w:t>
      </w:r>
    </w:p>
    <w:p>
      <w:pPr>
        <w:jc w:val="left"/>
        <w:rPr>
          <w:rFonts w:ascii="仿宋" w:hAnsi="仿宋" w:eastAsia="仿宋"/>
          <w:sz w:val="32"/>
          <w:szCs w:val="32"/>
        </w:rPr>
      </w:pPr>
      <w:r>
        <w:rPr>
          <w:rFonts w:ascii="仿宋" w:hAnsi="仿宋" w:eastAsia="仿宋"/>
          <w:sz w:val="32"/>
          <w:szCs w:val="32"/>
        </w:rPr>
        <w:drawing>
          <wp:inline distT="0" distB="0" distL="0" distR="0">
            <wp:extent cx="5245100" cy="1814830"/>
            <wp:effectExtent l="19050" t="0" r="12123"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rPr>
          <w:rFonts w:ascii="仿宋" w:hAnsi="仿宋" w:eastAsia="仿宋"/>
          <w:sz w:val="32"/>
          <w:szCs w:val="32"/>
        </w:rPr>
      </w:pPr>
      <w:r>
        <w:rPr>
          <w:rFonts w:hint="eastAsia" w:ascii="仿宋" w:hAnsi="仿宋" w:eastAsia="仿宋"/>
          <w:sz w:val="32"/>
          <w:szCs w:val="32"/>
        </w:rPr>
        <w:t>三、白石山林区基层法院新收审判类案件情况</w:t>
      </w:r>
    </w:p>
    <w:p>
      <w:pPr>
        <w:ind w:firstLine="640" w:firstLineChars="200"/>
        <w:rPr>
          <w:rFonts w:ascii="仿宋" w:hAnsi="仿宋" w:eastAsia="仿宋"/>
          <w:sz w:val="32"/>
          <w:szCs w:val="32"/>
        </w:rPr>
      </w:pPr>
      <w:r>
        <w:rPr>
          <w:rFonts w:hint="eastAsia" w:ascii="仿宋" w:hAnsi="仿宋" w:eastAsia="仿宋"/>
          <w:sz w:val="32"/>
          <w:szCs w:val="32"/>
        </w:rPr>
        <w:t>2019年上半年我院共新收审判类案件95件，与2018年上半年新收41件相比，增加54件，上升131.71%。</w:t>
      </w:r>
    </w:p>
    <w:p>
      <w:pPr>
        <w:ind w:firstLine="640" w:firstLineChars="200"/>
        <w:rPr>
          <w:rFonts w:ascii="仿宋" w:hAnsi="仿宋" w:eastAsia="仿宋"/>
          <w:sz w:val="32"/>
          <w:szCs w:val="32"/>
        </w:rPr>
      </w:pPr>
      <w:r>
        <w:rPr>
          <w:rFonts w:hint="eastAsia" w:ascii="仿宋" w:hAnsi="仿宋" w:eastAsia="仿宋"/>
          <w:sz w:val="32"/>
          <w:szCs w:val="32"/>
        </w:rPr>
        <w:t>四、白石山林区基层法院审结审判类案件情况</w:t>
      </w:r>
    </w:p>
    <w:p>
      <w:pPr>
        <w:ind w:firstLine="640" w:firstLineChars="200"/>
        <w:rPr>
          <w:rFonts w:ascii="仿宋" w:hAnsi="仿宋" w:eastAsia="仿宋"/>
          <w:sz w:val="32"/>
          <w:szCs w:val="32"/>
        </w:rPr>
      </w:pPr>
      <w:r>
        <w:rPr>
          <w:rFonts w:hint="eastAsia" w:ascii="仿宋" w:hAnsi="仿宋" w:eastAsia="仿宋"/>
          <w:sz w:val="32"/>
          <w:szCs w:val="32"/>
        </w:rPr>
        <w:t>2019年上半年我院共审结审判类案件80件，与2018年上半年审结35件相比，增加45件，上升128.57%。</w:t>
      </w:r>
    </w:p>
    <w:p>
      <w:pPr>
        <w:ind w:firstLine="640" w:firstLineChars="200"/>
        <w:rPr>
          <w:rFonts w:ascii="仿宋" w:hAnsi="仿宋" w:eastAsia="仿宋"/>
          <w:sz w:val="32"/>
          <w:szCs w:val="32"/>
        </w:rPr>
      </w:pPr>
      <w:r>
        <w:rPr>
          <w:rFonts w:hint="eastAsia" w:ascii="仿宋" w:hAnsi="仿宋" w:eastAsia="仿宋"/>
          <w:sz w:val="32"/>
          <w:szCs w:val="32"/>
        </w:rPr>
        <w:t>(一)白石山林区基层法院审结案件的审判程序情况</w:t>
      </w:r>
    </w:p>
    <w:p>
      <w:pPr>
        <w:ind w:firstLine="640" w:firstLineChars="200"/>
        <w:rPr>
          <w:rFonts w:ascii="仿宋" w:hAnsi="仿宋" w:eastAsia="仿宋"/>
          <w:color w:val="FF0000"/>
          <w:sz w:val="32"/>
          <w:szCs w:val="32"/>
        </w:rPr>
      </w:pPr>
      <w:r>
        <w:rPr>
          <w:rFonts w:hint="eastAsia" w:ascii="仿宋" w:hAnsi="仿宋" w:eastAsia="仿宋"/>
          <w:sz w:val="32"/>
          <w:szCs w:val="32"/>
        </w:rPr>
        <w:t>2019年上半年我院审结一审民事案件58件，审结一审刑</w:t>
      </w:r>
      <w:r>
        <w:rPr>
          <w:rFonts w:hint="eastAsia" w:ascii="仿宋" w:hAnsi="仿宋" w:eastAsia="仿宋"/>
          <w:color w:val="000000" w:themeColor="text1"/>
          <w:sz w:val="32"/>
          <w:szCs w:val="32"/>
        </w:rPr>
        <w:t>事案件20件，非诉保全案件2件。</w:t>
      </w:r>
    </w:p>
    <w:p>
      <w:pPr>
        <w:ind w:firstLine="640" w:firstLineChars="200"/>
        <w:rPr>
          <w:rFonts w:ascii="仿宋" w:hAnsi="仿宋" w:eastAsia="仿宋"/>
          <w:sz w:val="32"/>
          <w:szCs w:val="32"/>
        </w:rPr>
      </w:pPr>
      <w:r>
        <w:rPr>
          <w:rFonts w:hint="eastAsia" w:ascii="仿宋" w:hAnsi="仿宋" w:eastAsia="仿宋"/>
          <w:sz w:val="32"/>
          <w:szCs w:val="32"/>
        </w:rPr>
        <w:t>(二)白石山林区基层法院审结案件的案由、罪名、行政管理范围情况</w:t>
      </w:r>
    </w:p>
    <w:p>
      <w:pPr>
        <w:ind w:firstLine="640" w:firstLineChars="200"/>
        <w:rPr>
          <w:rFonts w:ascii="仿宋" w:hAnsi="仿宋" w:eastAsia="仿宋"/>
          <w:sz w:val="32"/>
          <w:szCs w:val="32"/>
        </w:rPr>
      </w:pPr>
      <w:r>
        <w:rPr>
          <w:rFonts w:hint="eastAsia" w:ascii="仿宋" w:hAnsi="仿宋" w:eastAsia="仿宋"/>
          <w:sz w:val="32"/>
          <w:szCs w:val="32"/>
        </w:rPr>
        <w:t>2019年上半年我院审结民事案件中，劳动争议案件2件，离婚纠纷10件，生命权、健康权、身体权纠纷2件，民间借贷案件18件，财产损害赔偿纠纷3件，合同纠纷18件，机动车交通事故责任纠纷1件，抚养纠纷案件2件，继承纠纷案件1件，损害赔偿纠纷案件1件，相邻土地、建筑物利用关系纠纷案件1件。</w:t>
      </w:r>
    </w:p>
    <w:p>
      <w:pPr>
        <w:ind w:firstLine="640" w:firstLineChars="200"/>
        <w:rPr>
          <w:rFonts w:ascii="仿宋" w:hAnsi="仿宋" w:eastAsia="仿宋"/>
          <w:sz w:val="32"/>
          <w:szCs w:val="32"/>
        </w:rPr>
      </w:pPr>
      <w:r>
        <w:rPr>
          <w:rFonts w:hint="eastAsia" w:ascii="仿宋" w:hAnsi="仿宋" w:eastAsia="仿宋"/>
          <w:sz w:val="32"/>
          <w:szCs w:val="32"/>
        </w:rPr>
        <w:t>2019年上半年我院审结刑事案件中，非法采伐、毁坏国家重点保护植物罪16件，盗伐林木罪1件，故意伤害罪2件，非法经营罪1件。</w:t>
      </w:r>
    </w:p>
    <w:p>
      <w:pPr>
        <w:ind w:firstLine="480" w:firstLineChars="150"/>
        <w:rPr>
          <w:rFonts w:ascii="仿宋" w:hAnsi="仿宋" w:eastAsia="仿宋"/>
          <w:sz w:val="32"/>
          <w:szCs w:val="32"/>
        </w:rPr>
      </w:pPr>
      <w:r>
        <w:rPr>
          <w:rFonts w:hint="eastAsia" w:ascii="仿宋" w:hAnsi="仿宋" w:eastAsia="仿宋"/>
          <w:sz w:val="32"/>
          <w:szCs w:val="32"/>
        </w:rPr>
        <w:t xml:space="preserve"> (三)白石山林区基层法院审结审判类案件一审简易程序适用率、二审发回重审率、改判率情况</w:t>
      </w:r>
    </w:p>
    <w:p>
      <w:pPr>
        <w:ind w:firstLine="640" w:firstLineChars="200"/>
        <w:rPr>
          <w:rFonts w:ascii="仿宋" w:hAnsi="仿宋" w:eastAsia="仿宋"/>
          <w:sz w:val="32"/>
          <w:szCs w:val="32"/>
        </w:rPr>
      </w:pPr>
      <w:r>
        <w:rPr>
          <w:rFonts w:hint="eastAsia" w:ascii="仿宋" w:hAnsi="仿宋" w:eastAsia="仿宋"/>
          <w:sz w:val="32"/>
          <w:szCs w:val="32"/>
        </w:rPr>
        <w:t>2019年上半年，我院审结的一审案件中，简易程序适用率为94.87%，同比2018年上半年的84.85%,上升10.02个百分点。</w:t>
      </w:r>
    </w:p>
    <w:p>
      <w:pPr>
        <w:ind w:firstLine="640" w:firstLineChars="200"/>
        <w:rPr>
          <w:rFonts w:ascii="仿宋" w:hAnsi="仿宋" w:eastAsia="仿宋"/>
          <w:sz w:val="32"/>
          <w:szCs w:val="32"/>
        </w:rPr>
      </w:pPr>
      <w:r>
        <w:rPr>
          <w:rFonts w:hint="eastAsia" w:ascii="仿宋" w:hAnsi="仿宋" w:eastAsia="仿宋"/>
          <w:sz w:val="32"/>
          <w:szCs w:val="32"/>
        </w:rPr>
        <w:t>2019年上半年，我院二审发回重审率为0%，改判率为0%，同比2019年上半年的二审发回重审率0%，同比2018年上半年的改判率0%，没有变化。发回重审率、改判率为0%是与我院一直追求的审判目标，我院开展判决案件在判决前要经法官会议讨论后，做出判决的做法是分不开的，能够集思广益，运用集体的智慧对案件进行把关。</w:t>
      </w:r>
    </w:p>
    <w:p>
      <w:pPr>
        <w:ind w:firstLine="640" w:firstLineChars="200"/>
        <w:rPr>
          <w:rFonts w:ascii="仿宋" w:hAnsi="仿宋" w:eastAsia="仿宋"/>
          <w:sz w:val="32"/>
          <w:szCs w:val="32"/>
        </w:rPr>
      </w:pPr>
      <w:r>
        <w:rPr>
          <w:rFonts w:hint="eastAsia" w:ascii="仿宋" w:hAnsi="仿宋" w:eastAsia="仿宋"/>
          <w:sz w:val="32"/>
          <w:szCs w:val="32"/>
        </w:rPr>
        <w:t>五、白石山林区基层法院分类型、分层级、分月收结审判类案件情况</w:t>
      </w:r>
    </w:p>
    <w:p>
      <w:pPr>
        <w:ind w:firstLine="640" w:firstLineChars="200"/>
        <w:rPr>
          <w:rFonts w:ascii="仿宋" w:hAnsi="仿宋" w:eastAsia="仿宋"/>
          <w:sz w:val="32"/>
          <w:szCs w:val="32"/>
        </w:rPr>
      </w:pPr>
      <w:r>
        <w:rPr>
          <w:rFonts w:hint="eastAsia" w:ascii="仿宋" w:hAnsi="仿宋" w:eastAsia="仿宋"/>
          <w:sz w:val="32"/>
          <w:szCs w:val="32"/>
        </w:rPr>
        <w:t>2019年上半年，民事、刑事、非诉保全三类案件在新收案件中分别占比77.89%、20%、2.11%。在审结案件中分别占比72.5%、25%、2.5%。各类型案件收结情况见图4（民事新收74件，结案58件；刑事新收19件，结案20件；非诉保全新收2件，结案2件）</w:t>
      </w:r>
    </w:p>
    <w:p>
      <w:pPr>
        <w:jc w:val="center"/>
        <w:rPr>
          <w:rFonts w:ascii="仿宋" w:hAnsi="仿宋" w:eastAsia="仿宋"/>
          <w:sz w:val="32"/>
          <w:szCs w:val="32"/>
        </w:rPr>
      </w:pPr>
      <w:r>
        <w:rPr>
          <w:rFonts w:hint="eastAsia" w:ascii="仿宋" w:hAnsi="仿宋" w:eastAsia="仿宋"/>
          <w:sz w:val="32"/>
          <w:szCs w:val="32"/>
        </w:rPr>
        <w:t>图4 2019年上半年白石山林区基层法院审判类案件</w:t>
      </w:r>
    </w:p>
    <w:p>
      <w:pPr>
        <w:jc w:val="center"/>
        <w:rPr>
          <w:rFonts w:ascii="仿宋" w:hAnsi="仿宋" w:eastAsia="仿宋"/>
          <w:sz w:val="32"/>
          <w:szCs w:val="32"/>
        </w:rPr>
      </w:pPr>
      <w:r>
        <w:rPr>
          <w:rFonts w:hint="eastAsia" w:ascii="仿宋" w:hAnsi="仿宋" w:eastAsia="仿宋"/>
          <w:sz w:val="32"/>
          <w:szCs w:val="32"/>
        </w:rPr>
        <w:t>分类型收结案情况 （单位：件）</w:t>
      </w:r>
    </w:p>
    <w:p>
      <w:pPr>
        <w:jc w:val="center"/>
        <w:rPr>
          <w:rFonts w:ascii="仿宋" w:hAnsi="仿宋" w:eastAsia="仿宋"/>
          <w:sz w:val="32"/>
          <w:szCs w:val="32"/>
        </w:rPr>
      </w:pPr>
      <w:r>
        <w:rPr>
          <w:rFonts w:ascii="仿宋" w:hAnsi="仿宋" w:eastAsia="仿宋"/>
          <w:sz w:val="32"/>
          <w:szCs w:val="32"/>
        </w:rPr>
        <w:drawing>
          <wp:inline distT="0" distB="0" distL="0" distR="0">
            <wp:extent cx="4768215" cy="1767840"/>
            <wp:effectExtent l="19050" t="0" r="12940" b="3235"/>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2019年上半年我院新收审判类案95件，审结80件。1月新收案11件，结11件；2月新收案3件，结案4件；3月新收案14件，结案11件；4月新收28件，结案13件；5月新收16件，结案17件；6月新收23件，结案24件。2019年上半年我院新收案件4月和6月收案数增幅较大外，1月</w:t>
      </w:r>
      <w:r>
        <w:rPr>
          <w:rFonts w:hint="eastAsia" w:ascii="仿宋" w:hAnsi="仿宋" w:eastAsia="仿宋"/>
          <w:color w:val="000000" w:themeColor="text1"/>
          <w:sz w:val="32"/>
          <w:szCs w:val="32"/>
        </w:rPr>
        <w:t>、2月、3月基本趋于平稳。结案数4月、5月、6月高于1月、2月、3月，基本实现均衡结案。白石山林区基层法院各月收结案情况见图5。</w:t>
      </w:r>
    </w:p>
    <w:p>
      <w:pPr>
        <w:jc w:val="center"/>
        <w:rPr>
          <w:rFonts w:ascii="仿宋" w:hAnsi="仿宋" w:eastAsia="仿宋"/>
          <w:sz w:val="32"/>
          <w:szCs w:val="32"/>
        </w:rPr>
      </w:pPr>
      <w:r>
        <w:rPr>
          <w:rFonts w:hint="eastAsia" w:ascii="仿宋" w:hAnsi="仿宋" w:eastAsia="仿宋"/>
          <w:sz w:val="32"/>
          <w:szCs w:val="32"/>
        </w:rPr>
        <w:t>图5 白石山林区基层法院各月收结案情况（单位：件）</w:t>
      </w:r>
    </w:p>
    <w:p>
      <w:pPr>
        <w:ind w:firstLine="640" w:firstLineChars="200"/>
        <w:rPr>
          <w:rFonts w:ascii="仿宋" w:hAnsi="仿宋" w:eastAsia="仿宋"/>
          <w:sz w:val="32"/>
          <w:szCs w:val="32"/>
        </w:rPr>
      </w:pPr>
      <w:r>
        <w:rPr>
          <w:rFonts w:ascii="仿宋" w:hAnsi="仿宋" w:eastAsia="仿宋"/>
          <w:sz w:val="32"/>
          <w:szCs w:val="32"/>
        </w:rPr>
        <w:drawing>
          <wp:inline distT="0" distB="0" distL="0" distR="0">
            <wp:extent cx="5105400" cy="1811655"/>
            <wp:effectExtent l="19050" t="0" r="19050" b="0"/>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ascii="仿宋" w:hAnsi="仿宋" w:eastAsia="仿宋"/>
          <w:sz w:val="32"/>
          <w:szCs w:val="32"/>
        </w:rPr>
        <w:t>六、白石山林区基层法院未结审判类案件情况</w:t>
      </w:r>
    </w:p>
    <w:p>
      <w:pPr>
        <w:ind w:firstLine="640" w:firstLineChars="200"/>
        <w:rPr>
          <w:rFonts w:ascii="仿宋" w:hAnsi="仿宋" w:eastAsia="仿宋"/>
          <w:sz w:val="32"/>
          <w:szCs w:val="32"/>
        </w:rPr>
      </w:pPr>
      <w:r>
        <w:rPr>
          <w:rFonts w:hint="eastAsia" w:ascii="仿宋" w:hAnsi="仿宋" w:eastAsia="仿宋"/>
          <w:sz w:val="32"/>
          <w:szCs w:val="32"/>
        </w:rPr>
        <w:t>截至2019年6月31日，我院未结审判类案件26件（其中刑事0件，民事26件，非诉保全审查0件），与2018年上半年的10件相比，增加16件，上升160%。</w:t>
      </w:r>
    </w:p>
    <w:p>
      <w:pPr>
        <w:ind w:firstLine="640" w:firstLineChars="200"/>
        <w:rPr>
          <w:rFonts w:ascii="仿宋" w:hAnsi="仿宋" w:eastAsia="仿宋"/>
          <w:sz w:val="32"/>
          <w:szCs w:val="32"/>
        </w:rPr>
      </w:pPr>
      <w:r>
        <w:rPr>
          <w:rFonts w:hint="eastAsia" w:ascii="仿宋" w:hAnsi="仿宋" w:eastAsia="仿宋"/>
          <w:sz w:val="32"/>
          <w:szCs w:val="32"/>
        </w:rPr>
        <w:t>七、长期未结诉讼案件情况</w:t>
      </w:r>
    </w:p>
    <w:p>
      <w:pPr>
        <w:ind w:firstLine="640" w:firstLineChars="200"/>
        <w:rPr>
          <w:rFonts w:ascii="仿宋" w:hAnsi="仿宋" w:eastAsia="仿宋"/>
          <w:sz w:val="32"/>
          <w:szCs w:val="32"/>
        </w:rPr>
      </w:pPr>
      <w:r>
        <w:rPr>
          <w:rFonts w:hint="eastAsia" w:ascii="仿宋" w:hAnsi="仿宋" w:eastAsia="仿宋"/>
          <w:sz w:val="32"/>
          <w:szCs w:val="32"/>
        </w:rPr>
        <w:t>截至2019年6月30日，我院有1件长期未结诉讼案件。</w:t>
      </w:r>
    </w:p>
    <w:p>
      <w:pPr>
        <w:ind w:firstLine="640" w:firstLineChars="200"/>
        <w:rPr>
          <w:rFonts w:ascii="仿宋" w:hAnsi="仿宋" w:eastAsia="仿宋"/>
          <w:sz w:val="32"/>
          <w:szCs w:val="32"/>
        </w:rPr>
      </w:pPr>
      <w:bookmarkStart w:id="0" w:name="_GoBack"/>
      <w:bookmarkEnd w:id="0"/>
    </w:p>
    <w:p>
      <w:pPr>
        <w:ind w:firstLine="640" w:firstLineChars="200"/>
        <w:rPr>
          <w:rFonts w:ascii="仿宋" w:hAnsi="仿宋" w:eastAsia="仿宋"/>
          <w:sz w:val="32"/>
          <w:szCs w:val="32"/>
        </w:rPr>
      </w:pPr>
      <w:r>
        <w:rPr>
          <w:rFonts w:hint="eastAsia" w:ascii="仿宋" w:hAnsi="仿宋" w:eastAsia="仿宋"/>
          <w:sz w:val="32"/>
          <w:szCs w:val="32"/>
        </w:rPr>
        <w:t xml:space="preserve">               白石山林区基层法院审判管理办公室</w:t>
      </w:r>
    </w:p>
    <w:p>
      <w:pPr>
        <w:ind w:firstLine="640" w:firstLineChars="200"/>
        <w:rPr>
          <w:rFonts w:ascii="仿宋" w:hAnsi="仿宋" w:eastAsia="仿宋"/>
          <w:sz w:val="32"/>
          <w:szCs w:val="32"/>
        </w:rPr>
      </w:pPr>
      <w:r>
        <w:rPr>
          <w:rFonts w:hint="eastAsia" w:ascii="仿宋" w:hAnsi="仿宋" w:eastAsia="仿宋"/>
          <w:sz w:val="32"/>
          <w:szCs w:val="32"/>
        </w:rPr>
        <w:t xml:space="preserve">                     二○一九年六月二十九日</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07897"/>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11</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0B54"/>
    <w:rsid w:val="000069B3"/>
    <w:rsid w:val="00007C9D"/>
    <w:rsid w:val="00014704"/>
    <w:rsid w:val="00041D8E"/>
    <w:rsid w:val="000834EF"/>
    <w:rsid w:val="00084417"/>
    <w:rsid w:val="00095C09"/>
    <w:rsid w:val="000A2B27"/>
    <w:rsid w:val="000C095A"/>
    <w:rsid w:val="000F2234"/>
    <w:rsid w:val="00135E7C"/>
    <w:rsid w:val="001547D2"/>
    <w:rsid w:val="00175612"/>
    <w:rsid w:val="00181E7C"/>
    <w:rsid w:val="00185000"/>
    <w:rsid w:val="001B66D8"/>
    <w:rsid w:val="001C1D9E"/>
    <w:rsid w:val="001E66E1"/>
    <w:rsid w:val="001F2129"/>
    <w:rsid w:val="001F45A6"/>
    <w:rsid w:val="002005ED"/>
    <w:rsid w:val="00222228"/>
    <w:rsid w:val="002377C9"/>
    <w:rsid w:val="00261C71"/>
    <w:rsid w:val="00292245"/>
    <w:rsid w:val="002A17FA"/>
    <w:rsid w:val="002B3B82"/>
    <w:rsid w:val="002D231C"/>
    <w:rsid w:val="002D47C6"/>
    <w:rsid w:val="002D67A8"/>
    <w:rsid w:val="002E040E"/>
    <w:rsid w:val="002F157F"/>
    <w:rsid w:val="003002CD"/>
    <w:rsid w:val="003201B9"/>
    <w:rsid w:val="00350849"/>
    <w:rsid w:val="00350D94"/>
    <w:rsid w:val="00351ED5"/>
    <w:rsid w:val="00371F93"/>
    <w:rsid w:val="003A0210"/>
    <w:rsid w:val="003A714F"/>
    <w:rsid w:val="003B510D"/>
    <w:rsid w:val="003F6A54"/>
    <w:rsid w:val="003F6E0F"/>
    <w:rsid w:val="004013F7"/>
    <w:rsid w:val="00407D27"/>
    <w:rsid w:val="00425C53"/>
    <w:rsid w:val="00477E06"/>
    <w:rsid w:val="00482C24"/>
    <w:rsid w:val="004B036F"/>
    <w:rsid w:val="004B6B23"/>
    <w:rsid w:val="00502449"/>
    <w:rsid w:val="00517680"/>
    <w:rsid w:val="00533D90"/>
    <w:rsid w:val="0055092B"/>
    <w:rsid w:val="005564F2"/>
    <w:rsid w:val="0056304E"/>
    <w:rsid w:val="005871FC"/>
    <w:rsid w:val="00590B7C"/>
    <w:rsid w:val="005A11A3"/>
    <w:rsid w:val="005A784D"/>
    <w:rsid w:val="005D0B4F"/>
    <w:rsid w:val="005E2674"/>
    <w:rsid w:val="005F6A8A"/>
    <w:rsid w:val="005F7F90"/>
    <w:rsid w:val="00632A43"/>
    <w:rsid w:val="00653031"/>
    <w:rsid w:val="00653A03"/>
    <w:rsid w:val="006556B8"/>
    <w:rsid w:val="00667DA1"/>
    <w:rsid w:val="00686102"/>
    <w:rsid w:val="006A75DE"/>
    <w:rsid w:val="006B0532"/>
    <w:rsid w:val="006B1951"/>
    <w:rsid w:val="006D2E00"/>
    <w:rsid w:val="006D39BC"/>
    <w:rsid w:val="006F1744"/>
    <w:rsid w:val="006F313C"/>
    <w:rsid w:val="006F62A7"/>
    <w:rsid w:val="00701C4C"/>
    <w:rsid w:val="00702FCC"/>
    <w:rsid w:val="0071196C"/>
    <w:rsid w:val="0073386D"/>
    <w:rsid w:val="00733D5A"/>
    <w:rsid w:val="00745370"/>
    <w:rsid w:val="00774BDA"/>
    <w:rsid w:val="00786E6A"/>
    <w:rsid w:val="007B3424"/>
    <w:rsid w:val="007B6C94"/>
    <w:rsid w:val="007C014E"/>
    <w:rsid w:val="007F0AED"/>
    <w:rsid w:val="007F146F"/>
    <w:rsid w:val="0080210F"/>
    <w:rsid w:val="00803E07"/>
    <w:rsid w:val="00810CAA"/>
    <w:rsid w:val="00830912"/>
    <w:rsid w:val="00880B9D"/>
    <w:rsid w:val="008818A1"/>
    <w:rsid w:val="008A23CE"/>
    <w:rsid w:val="008A34DB"/>
    <w:rsid w:val="008B4932"/>
    <w:rsid w:val="008C6DC5"/>
    <w:rsid w:val="008C79E6"/>
    <w:rsid w:val="008E2CA2"/>
    <w:rsid w:val="00914E7E"/>
    <w:rsid w:val="00916E67"/>
    <w:rsid w:val="00930851"/>
    <w:rsid w:val="00936294"/>
    <w:rsid w:val="00937287"/>
    <w:rsid w:val="00950B54"/>
    <w:rsid w:val="00973096"/>
    <w:rsid w:val="0097464A"/>
    <w:rsid w:val="00981EA1"/>
    <w:rsid w:val="00986C3E"/>
    <w:rsid w:val="009A2235"/>
    <w:rsid w:val="009B3DCF"/>
    <w:rsid w:val="009B784B"/>
    <w:rsid w:val="009E41DE"/>
    <w:rsid w:val="009F0B88"/>
    <w:rsid w:val="00A335E0"/>
    <w:rsid w:val="00A33802"/>
    <w:rsid w:val="00A478C4"/>
    <w:rsid w:val="00A538F0"/>
    <w:rsid w:val="00A86282"/>
    <w:rsid w:val="00AA2063"/>
    <w:rsid w:val="00AA5ECB"/>
    <w:rsid w:val="00AB4CF5"/>
    <w:rsid w:val="00AC24E4"/>
    <w:rsid w:val="00AE4063"/>
    <w:rsid w:val="00AF390B"/>
    <w:rsid w:val="00B1691A"/>
    <w:rsid w:val="00B20505"/>
    <w:rsid w:val="00B3303D"/>
    <w:rsid w:val="00B33A3E"/>
    <w:rsid w:val="00B40A0C"/>
    <w:rsid w:val="00B54600"/>
    <w:rsid w:val="00B8144D"/>
    <w:rsid w:val="00B84899"/>
    <w:rsid w:val="00B91EBC"/>
    <w:rsid w:val="00BE13D9"/>
    <w:rsid w:val="00BE309C"/>
    <w:rsid w:val="00BF0626"/>
    <w:rsid w:val="00C03666"/>
    <w:rsid w:val="00C10BFB"/>
    <w:rsid w:val="00C20228"/>
    <w:rsid w:val="00C26E55"/>
    <w:rsid w:val="00C30612"/>
    <w:rsid w:val="00C73F5C"/>
    <w:rsid w:val="00C90F04"/>
    <w:rsid w:val="00CB1C16"/>
    <w:rsid w:val="00CF2BC4"/>
    <w:rsid w:val="00D0026E"/>
    <w:rsid w:val="00D02313"/>
    <w:rsid w:val="00D044B3"/>
    <w:rsid w:val="00D05BD5"/>
    <w:rsid w:val="00D16A4B"/>
    <w:rsid w:val="00D21067"/>
    <w:rsid w:val="00D213CC"/>
    <w:rsid w:val="00D272B0"/>
    <w:rsid w:val="00D50DF9"/>
    <w:rsid w:val="00D522D2"/>
    <w:rsid w:val="00D55004"/>
    <w:rsid w:val="00D701AF"/>
    <w:rsid w:val="00D771E7"/>
    <w:rsid w:val="00D9191B"/>
    <w:rsid w:val="00DA5B70"/>
    <w:rsid w:val="00DB41BC"/>
    <w:rsid w:val="00DB4CD3"/>
    <w:rsid w:val="00DD779E"/>
    <w:rsid w:val="00DE665E"/>
    <w:rsid w:val="00DF0FAF"/>
    <w:rsid w:val="00E05342"/>
    <w:rsid w:val="00E264B6"/>
    <w:rsid w:val="00E45EB4"/>
    <w:rsid w:val="00E50644"/>
    <w:rsid w:val="00E7428D"/>
    <w:rsid w:val="00E776CC"/>
    <w:rsid w:val="00E840C5"/>
    <w:rsid w:val="00E87437"/>
    <w:rsid w:val="00EE485B"/>
    <w:rsid w:val="00EF410E"/>
    <w:rsid w:val="00EF5430"/>
    <w:rsid w:val="00EF6D97"/>
    <w:rsid w:val="00F1221D"/>
    <w:rsid w:val="00F21007"/>
    <w:rsid w:val="00F21E61"/>
    <w:rsid w:val="00F23EE7"/>
    <w:rsid w:val="00F32AC4"/>
    <w:rsid w:val="00F82DD2"/>
    <w:rsid w:val="00F90F07"/>
    <w:rsid w:val="00FA53E7"/>
    <w:rsid w:val="00FB572E"/>
    <w:rsid w:val="00FC55B8"/>
    <w:rsid w:val="00FC7064"/>
    <w:rsid w:val="45510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3457;&#21028;&#24577;&#21183;&#20998;&#26512;&#25253;&#2157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3457;&#21028;&#24577;&#21183;&#20998;&#26512;&#25253;&#2157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3457;&#21028;&#24577;&#21183;&#20998;&#26512;&#25253;&#21578;\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3457;&#21028;&#24577;&#21183;&#20998;&#26512;&#25253;&#2157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3457;&#21028;&#24577;&#21183;&#20998;&#26512;&#25253;&#2157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Sheet1!$B$1</c:f>
              <c:strCache>
                <c:ptCount val="1"/>
                <c:pt idx="0">
                  <c:v/>
                </c:pt>
              </c:strCache>
            </c:strRef>
          </c:tx>
          <c:invertIfNegative val="0"/>
          <c:dLbls>
            <c:delete val="1"/>
          </c:dLbls>
          <c:cat>
            <c:strRef>
              <c:f>Sheet1!$A$2:$A$5</c:f>
              <c:strCache>
                <c:ptCount val="4"/>
                <c:pt idx="0">
                  <c:v>旧存</c:v>
                </c:pt>
                <c:pt idx="1">
                  <c:v>新收</c:v>
                </c:pt>
                <c:pt idx="2">
                  <c:v>已结</c:v>
                </c:pt>
                <c:pt idx="3">
                  <c:v>未结</c:v>
                </c:pt>
              </c:strCache>
            </c:strRef>
          </c:cat>
          <c:val>
            <c:numRef>
              <c:f>Sheet1!$B$2:$B$5</c:f>
            </c:numRef>
          </c:val>
        </c:ser>
        <c:ser>
          <c:idx val="3"/>
          <c:order val="3"/>
          <c:tx>
            <c:strRef>
              <c:f>Sheet1!$C$1</c:f>
              <c:strCache>
                <c:ptCount val="1"/>
                <c:pt idx="0">
                  <c:v/>
                </c:pt>
              </c:strCache>
            </c:strRef>
          </c:tx>
          <c:invertIfNegative val="0"/>
          <c:dLbls>
            <c:delete val="1"/>
          </c:dLbls>
          <c:cat>
            <c:strRef>
              <c:f>Sheet1!$A$2:$A$5</c:f>
              <c:strCache>
                <c:ptCount val="4"/>
                <c:pt idx="0">
                  <c:v>旧存</c:v>
                </c:pt>
                <c:pt idx="1">
                  <c:v>新收</c:v>
                </c:pt>
                <c:pt idx="2">
                  <c:v>已结</c:v>
                </c:pt>
                <c:pt idx="3">
                  <c:v>未结</c:v>
                </c:pt>
              </c:strCache>
            </c:strRef>
          </c:cat>
          <c:val>
            <c:numRef>
              <c:f>Sheet1!$C$2:$C$5</c:f>
            </c:numRef>
          </c:val>
        </c:ser>
        <c:ser>
          <c:idx val="0"/>
          <c:order val="0"/>
          <c:tx>
            <c:strRef>
              <c:f>[1.xlsx]Sheet1!$B$1</c:f>
              <c:strCache>
                <c:ptCount val="1"/>
                <c:pt idx="0">
                  <c:v>2018年上半年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[1.xlsx]Sheet1!$A$2:$A$5</c:f>
              <c:strCache>
                <c:ptCount val="4"/>
                <c:pt idx="0">
                  <c:v>旧存</c:v>
                </c:pt>
                <c:pt idx="1">
                  <c:v>新收</c:v>
                </c:pt>
                <c:pt idx="2">
                  <c:v>已结</c:v>
                </c:pt>
                <c:pt idx="3">
                  <c:v>未结</c:v>
                </c:pt>
              </c:strCache>
            </c:strRef>
          </c:cat>
          <c:val>
            <c:numRef>
              <c:f>[1.xlsx]Sheet1!$B$2:$B$5</c:f>
              <c:numCache>
                <c:formatCode>General</c:formatCode>
                <c:ptCount val="4"/>
                <c:pt idx="0">
                  <c:v>5</c:v>
                </c:pt>
                <c:pt idx="1">
                  <c:v>51</c:v>
                </c:pt>
                <c:pt idx="2">
                  <c:v>44</c:v>
                </c:pt>
                <c:pt idx="3">
                  <c:v>12</c:v>
                </c:pt>
              </c:numCache>
            </c:numRef>
          </c:val>
        </c:ser>
        <c:ser>
          <c:idx val="1"/>
          <c:order val="1"/>
          <c:tx>
            <c:strRef>
              <c:f>[1.xlsx]Sheet1!$C$1</c:f>
              <c:strCache>
                <c:ptCount val="1"/>
                <c:pt idx="0">
                  <c:v>2019年上半年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[1.xlsx]Sheet1!$A$2:$A$5</c:f>
              <c:strCache>
                <c:ptCount val="4"/>
                <c:pt idx="0">
                  <c:v>旧存</c:v>
                </c:pt>
                <c:pt idx="1">
                  <c:v>新收</c:v>
                </c:pt>
                <c:pt idx="2">
                  <c:v>已结</c:v>
                </c:pt>
                <c:pt idx="3">
                  <c:v>未结</c:v>
                </c:pt>
              </c:strCache>
            </c:strRef>
          </c:cat>
          <c:val>
            <c:numRef>
              <c:f>[1.xlsx]Sheet1!$C$2:$C$5</c:f>
              <c:numCache>
                <c:formatCode>General</c:formatCode>
                <c:ptCount val="4"/>
                <c:pt idx="0">
                  <c:v>18</c:v>
                </c:pt>
                <c:pt idx="1">
                  <c:v>111</c:v>
                </c:pt>
                <c:pt idx="2">
                  <c:v>99</c:v>
                </c:pt>
                <c:pt idx="3">
                  <c:v>30</c:v>
                </c:pt>
              </c:numCache>
            </c:numRef>
          </c:val>
        </c:ser>
        <c:dLbls>
          <c:showLegendKey val="0"/>
          <c:showVal val="0"/>
          <c:showCatName val="0"/>
          <c:showSerName val="0"/>
          <c:showPercent val="0"/>
          <c:showBubbleSize val="0"/>
        </c:dLbls>
        <c:gapWidth val="150"/>
        <c:axId val="143644928"/>
        <c:axId val="143523840"/>
      </c:barChart>
      <c:catAx>
        <c:axId val="1436449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523840"/>
        <c:crosses val="autoZero"/>
        <c:auto val="1"/>
        <c:lblAlgn val="ctr"/>
        <c:lblOffset val="100"/>
        <c:noMultiLvlLbl val="0"/>
      </c:catAx>
      <c:valAx>
        <c:axId val="1435238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644928"/>
        <c:crosses val="autoZero"/>
        <c:crossBetween val="between"/>
      </c:valAx>
    </c:plotArea>
    <c:legend>
      <c:legendPos val="r"/>
      <c:legendEntry>
        <c:idx val="0"/>
        <c:delete val="1"/>
      </c:legendEntry>
      <c:legendEntry>
        <c:idx val="1"/>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171062992126"/>
          <c:y val="0.0514005540974045"/>
          <c:w val="0.653665791776028"/>
          <c:h val="0.794544692330128"/>
        </c:manualLayout>
      </c:layout>
      <c:barChart>
        <c:barDir val="col"/>
        <c:grouping val="clustered"/>
        <c:varyColors val="0"/>
        <c:ser>
          <c:idx val="0"/>
          <c:order val="0"/>
          <c:tx>
            <c:strRef>
              <c:f>Sheet1!$B$1</c:f>
              <c:strCache>
                <c:ptCount val="1"/>
                <c:pt idx="0">
                  <c:v>2018年上半年</c:v>
                </c:pt>
              </c:strCache>
            </c:strRef>
          </c:tx>
          <c:invertIfNegative val="0"/>
          <c:dLbls>
            <c:delete val="1"/>
          </c:dLbls>
          <c:cat>
            <c:strRef>
              <c:f>Sheet1!$A$2:$A$5</c:f>
              <c:strCache>
                <c:ptCount val="4"/>
                <c:pt idx="0">
                  <c:v>旧存</c:v>
                </c:pt>
                <c:pt idx="1">
                  <c:v>新收</c:v>
                </c:pt>
                <c:pt idx="2">
                  <c:v>已结</c:v>
                </c:pt>
                <c:pt idx="3">
                  <c:v>未结</c:v>
                </c:pt>
              </c:strCache>
            </c:strRef>
          </c:cat>
          <c:val>
            <c:numRef>
              <c:f>Sheet1!$B$2:$B$5</c:f>
              <c:numCache>
                <c:formatCode>General</c:formatCode>
                <c:ptCount val="4"/>
                <c:pt idx="0">
                  <c:v>4</c:v>
                </c:pt>
                <c:pt idx="1">
                  <c:v>41</c:v>
                </c:pt>
                <c:pt idx="2">
                  <c:v>35</c:v>
                </c:pt>
                <c:pt idx="3">
                  <c:v>10</c:v>
                </c:pt>
              </c:numCache>
            </c:numRef>
          </c:val>
        </c:ser>
        <c:ser>
          <c:idx val="1"/>
          <c:order val="1"/>
          <c:tx>
            <c:strRef>
              <c:f>Sheet1!$C$1</c:f>
              <c:strCache>
                <c:ptCount val="1"/>
                <c:pt idx="0">
                  <c:v>2019年上半年</c:v>
                </c:pt>
              </c:strCache>
            </c:strRef>
          </c:tx>
          <c:invertIfNegative val="0"/>
          <c:dLbls>
            <c:delete val="1"/>
          </c:dLbls>
          <c:cat>
            <c:strRef>
              <c:f>Sheet1!$A$2:$A$5</c:f>
              <c:strCache>
                <c:ptCount val="4"/>
                <c:pt idx="0">
                  <c:v>旧存</c:v>
                </c:pt>
                <c:pt idx="1">
                  <c:v>新收</c:v>
                </c:pt>
                <c:pt idx="2">
                  <c:v>已结</c:v>
                </c:pt>
                <c:pt idx="3">
                  <c:v>未结</c:v>
                </c:pt>
              </c:strCache>
            </c:strRef>
          </c:cat>
          <c:val>
            <c:numRef>
              <c:f>Sheet1!$C$2:$C$5</c:f>
              <c:numCache>
                <c:formatCode>General</c:formatCode>
                <c:ptCount val="4"/>
                <c:pt idx="0">
                  <c:v>11</c:v>
                </c:pt>
                <c:pt idx="1">
                  <c:v>95</c:v>
                </c:pt>
                <c:pt idx="2">
                  <c:v>80</c:v>
                </c:pt>
                <c:pt idx="3">
                  <c:v>26</c:v>
                </c:pt>
              </c:numCache>
            </c:numRef>
          </c:val>
        </c:ser>
        <c:dLbls>
          <c:showLegendKey val="0"/>
          <c:showVal val="0"/>
          <c:showCatName val="0"/>
          <c:showSerName val="0"/>
          <c:showPercent val="0"/>
          <c:showBubbleSize val="0"/>
        </c:dLbls>
        <c:gapWidth val="150"/>
        <c:axId val="143561472"/>
        <c:axId val="143563008"/>
      </c:barChart>
      <c:catAx>
        <c:axId val="14356147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563008"/>
        <c:crosses val="autoZero"/>
        <c:auto val="1"/>
        <c:lblAlgn val="ctr"/>
        <c:lblOffset val="100"/>
        <c:noMultiLvlLbl val="0"/>
      </c:catAx>
      <c:valAx>
        <c:axId val="1435630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56147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Sheet1!$A$2</c:f>
              <c:strCache>
                <c:ptCount val="1"/>
                <c:pt idx="0">
                  <c:v/>
                </c:pt>
              </c:strCache>
            </c:strRef>
          </c:tx>
          <c:invertIfNegative val="0"/>
          <c:dLbls>
            <c:delete val="1"/>
          </c:dLbls>
          <c:cat>
            <c:strRef>
              <c:f>Sheet1!$B$1:$D$1</c:f>
              <c:strCache>
                <c:ptCount val="3"/>
                <c:pt idx="0">
                  <c:v>民事一审</c:v>
                </c:pt>
                <c:pt idx="1">
                  <c:v>刑事一审</c:v>
                </c:pt>
                <c:pt idx="2">
                  <c:v>行政一审</c:v>
                </c:pt>
              </c:strCache>
            </c:strRef>
          </c:cat>
          <c:val>
            <c:numRef>
              <c:f>Sheet1!$B$2:$D$2</c:f>
            </c:numRef>
          </c:val>
        </c:ser>
        <c:ser>
          <c:idx val="0"/>
          <c:order val="0"/>
          <c:tx>
            <c:strRef>
              <c:f>[3.xlsx]Sheet1!$A$2</c:f>
              <c:strCache>
                <c:ptCount val="1"/>
                <c:pt idx="0">
                  <c:v>平均审理天数</c:v>
                </c:pt>
              </c:strCache>
            </c:strRef>
          </c:tx>
          <c:invertIfNegative val="0"/>
          <c:dLbls>
            <c:delete val="1"/>
          </c:dLbls>
          <c:cat>
            <c:strRef>
              <c:f>[3.xlsx]Sheet1!$B$1:$D$1</c:f>
              <c:strCache>
                <c:ptCount val="3"/>
                <c:pt idx="0">
                  <c:v>民事一审</c:v>
                </c:pt>
                <c:pt idx="1">
                  <c:v>刑事一审</c:v>
                </c:pt>
                <c:pt idx="2">
                  <c:v>行政一审</c:v>
                </c:pt>
              </c:strCache>
            </c:strRef>
          </c:cat>
          <c:val>
            <c:numRef>
              <c:f>[3.xlsx]Sheet1!$B$2:$D$2</c:f>
              <c:numCache>
                <c:formatCode>General</c:formatCode>
                <c:ptCount val="3"/>
                <c:pt idx="0">
                  <c:v>33.6</c:v>
                </c:pt>
                <c:pt idx="1">
                  <c:v>16.2</c:v>
                </c:pt>
              </c:numCache>
            </c:numRef>
          </c:val>
        </c:ser>
        <c:dLbls>
          <c:showLegendKey val="0"/>
          <c:showVal val="0"/>
          <c:showCatName val="0"/>
          <c:showSerName val="0"/>
          <c:showPercent val="0"/>
          <c:showBubbleSize val="0"/>
        </c:dLbls>
        <c:gapWidth val="150"/>
        <c:axId val="115816704"/>
        <c:axId val="115818496"/>
      </c:barChart>
      <c:catAx>
        <c:axId val="1158167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5818496"/>
        <c:crosses val="autoZero"/>
        <c:auto val="1"/>
        <c:lblAlgn val="ctr"/>
        <c:lblOffset val="100"/>
        <c:noMultiLvlLbl val="0"/>
      </c:catAx>
      <c:valAx>
        <c:axId val="1158184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5816704"/>
        <c:crosses val="autoZero"/>
        <c:crossBetween val="between"/>
      </c:valAx>
    </c:plotArea>
    <c:legend>
      <c:legendPos val="r"/>
      <c:legendEntry>
        <c:idx val="0"/>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新收案件数</c:v>
                </c:pt>
              </c:strCache>
            </c:strRef>
          </c:tx>
          <c:invertIfNegative val="0"/>
          <c:dLbls>
            <c:delete val="1"/>
          </c:dLbls>
          <c:cat>
            <c:strRef>
              <c:f>Sheet1!$A$2:$A$4</c:f>
              <c:strCache>
                <c:ptCount val="3"/>
                <c:pt idx="0">
                  <c:v>民事</c:v>
                </c:pt>
                <c:pt idx="1">
                  <c:v>刑事</c:v>
                </c:pt>
                <c:pt idx="2">
                  <c:v>非诉保全审查</c:v>
                </c:pt>
              </c:strCache>
            </c:strRef>
          </c:cat>
          <c:val>
            <c:numRef>
              <c:f>Sheet1!$B$2:$B$4</c:f>
              <c:numCache>
                <c:formatCode>General</c:formatCode>
                <c:ptCount val="3"/>
                <c:pt idx="0">
                  <c:v>74</c:v>
                </c:pt>
                <c:pt idx="1">
                  <c:v>19</c:v>
                </c:pt>
                <c:pt idx="2">
                  <c:v>2</c:v>
                </c:pt>
              </c:numCache>
            </c:numRef>
          </c:val>
        </c:ser>
        <c:ser>
          <c:idx val="1"/>
          <c:order val="1"/>
          <c:tx>
            <c:strRef>
              <c:f>Sheet1!$C$1</c:f>
              <c:strCache>
                <c:ptCount val="1"/>
                <c:pt idx="0">
                  <c:v>审结案件数</c:v>
                </c:pt>
              </c:strCache>
            </c:strRef>
          </c:tx>
          <c:invertIfNegative val="0"/>
          <c:dLbls>
            <c:delete val="1"/>
          </c:dLbls>
          <c:cat>
            <c:strRef>
              <c:f>Sheet1!$A$2:$A$4</c:f>
              <c:strCache>
                <c:ptCount val="3"/>
                <c:pt idx="0">
                  <c:v>民事</c:v>
                </c:pt>
                <c:pt idx="1">
                  <c:v>刑事</c:v>
                </c:pt>
                <c:pt idx="2">
                  <c:v>非诉保全审查</c:v>
                </c:pt>
              </c:strCache>
            </c:strRef>
          </c:cat>
          <c:val>
            <c:numRef>
              <c:f>Sheet1!$C$2:$C$4</c:f>
              <c:numCache>
                <c:formatCode>General</c:formatCode>
                <c:ptCount val="3"/>
                <c:pt idx="0">
                  <c:v>58</c:v>
                </c:pt>
                <c:pt idx="1">
                  <c:v>20</c:v>
                </c:pt>
                <c:pt idx="2">
                  <c:v>2</c:v>
                </c:pt>
              </c:numCache>
            </c:numRef>
          </c:val>
        </c:ser>
        <c:dLbls>
          <c:showLegendKey val="0"/>
          <c:showVal val="0"/>
          <c:showCatName val="0"/>
          <c:showSerName val="0"/>
          <c:showPercent val="0"/>
          <c:showBubbleSize val="0"/>
        </c:dLbls>
        <c:gapWidth val="150"/>
        <c:axId val="144544128"/>
        <c:axId val="144545664"/>
      </c:barChart>
      <c:catAx>
        <c:axId val="1445441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4545664"/>
        <c:crosses val="autoZero"/>
        <c:auto val="1"/>
        <c:lblAlgn val="ctr"/>
        <c:lblOffset val="100"/>
        <c:noMultiLvlLbl val="0"/>
      </c:catAx>
      <c:valAx>
        <c:axId val="1445456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45441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44884076990376"/>
          <c:y val="0.0514005540974045"/>
          <c:w val="0.662733814523189"/>
          <c:h val="0.729729877515314"/>
        </c:manualLayout>
      </c:layout>
      <c:lineChart>
        <c:grouping val="standard"/>
        <c:varyColors val="0"/>
        <c:ser>
          <c:idx val="0"/>
          <c:order val="0"/>
          <c:tx>
            <c:strRef>
              <c:f>Sheet1!$B$1</c:f>
              <c:strCache>
                <c:ptCount val="1"/>
                <c:pt idx="0">
                  <c:v>新收案件数</c:v>
                </c:pt>
              </c:strCache>
            </c:strRef>
          </c:tx>
          <c:dLbls>
            <c:delete val="1"/>
          </c:dLbls>
          <c:cat>
            <c:strRef>
              <c:f>Sheet1!$A$2:$A$7</c:f>
              <c:strCache>
                <c:ptCount val="6"/>
                <c:pt idx="0">
                  <c:v>1月份</c:v>
                </c:pt>
                <c:pt idx="1">
                  <c:v>2月份</c:v>
                </c:pt>
                <c:pt idx="2">
                  <c:v>3月份</c:v>
                </c:pt>
                <c:pt idx="3">
                  <c:v>4月份</c:v>
                </c:pt>
                <c:pt idx="4">
                  <c:v>5月份</c:v>
                </c:pt>
                <c:pt idx="5">
                  <c:v>6月份</c:v>
                </c:pt>
              </c:strCache>
            </c:strRef>
          </c:cat>
          <c:val>
            <c:numRef>
              <c:f>Sheet1!$B$2:$B$7</c:f>
              <c:numCache>
                <c:formatCode>General</c:formatCode>
                <c:ptCount val="6"/>
                <c:pt idx="0">
                  <c:v>11</c:v>
                </c:pt>
                <c:pt idx="1">
                  <c:v>3</c:v>
                </c:pt>
                <c:pt idx="2">
                  <c:v>14</c:v>
                </c:pt>
                <c:pt idx="3">
                  <c:v>28</c:v>
                </c:pt>
                <c:pt idx="4">
                  <c:v>16</c:v>
                </c:pt>
                <c:pt idx="5">
                  <c:v>23</c:v>
                </c:pt>
              </c:numCache>
            </c:numRef>
          </c:val>
          <c:smooth val="0"/>
        </c:ser>
        <c:ser>
          <c:idx val="1"/>
          <c:order val="1"/>
          <c:tx>
            <c:strRef>
              <c:f>Sheet1!$C$1</c:f>
              <c:strCache>
                <c:ptCount val="1"/>
                <c:pt idx="0">
                  <c:v>审结案件数</c:v>
                </c:pt>
              </c:strCache>
            </c:strRef>
          </c:tx>
          <c:dLbls>
            <c:delete val="1"/>
          </c:dLbls>
          <c:cat>
            <c:strRef>
              <c:f>Sheet1!$A$2:$A$7</c:f>
              <c:strCache>
                <c:ptCount val="6"/>
                <c:pt idx="0">
                  <c:v>1月份</c:v>
                </c:pt>
                <c:pt idx="1">
                  <c:v>2月份</c:v>
                </c:pt>
                <c:pt idx="2">
                  <c:v>3月份</c:v>
                </c:pt>
                <c:pt idx="3">
                  <c:v>4月份</c:v>
                </c:pt>
                <c:pt idx="4">
                  <c:v>5月份</c:v>
                </c:pt>
                <c:pt idx="5">
                  <c:v>6月份</c:v>
                </c:pt>
              </c:strCache>
            </c:strRef>
          </c:cat>
          <c:val>
            <c:numRef>
              <c:f>Sheet1!$C$2:$C$7</c:f>
              <c:numCache>
                <c:formatCode>General</c:formatCode>
                <c:ptCount val="6"/>
                <c:pt idx="0">
                  <c:v>11</c:v>
                </c:pt>
                <c:pt idx="1">
                  <c:v>4</c:v>
                </c:pt>
                <c:pt idx="2">
                  <c:v>11</c:v>
                </c:pt>
                <c:pt idx="3">
                  <c:v>13</c:v>
                </c:pt>
                <c:pt idx="4">
                  <c:v>17</c:v>
                </c:pt>
                <c:pt idx="5">
                  <c:v>24</c:v>
                </c:pt>
              </c:numCache>
            </c:numRef>
          </c:val>
          <c:smooth val="0"/>
        </c:ser>
        <c:dLbls>
          <c:showLegendKey val="0"/>
          <c:showVal val="0"/>
          <c:showCatName val="0"/>
          <c:showSerName val="0"/>
          <c:showPercent val="0"/>
          <c:showBubbleSize val="0"/>
        </c:dLbls>
        <c:marker val="1"/>
        <c:smooth val="0"/>
        <c:axId val="144570240"/>
        <c:axId val="144571776"/>
      </c:lineChart>
      <c:catAx>
        <c:axId val="14457024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4571776"/>
        <c:crosses val="autoZero"/>
        <c:auto val="1"/>
        <c:lblAlgn val="ctr"/>
        <c:lblOffset val="100"/>
        <c:noMultiLvlLbl val="0"/>
      </c:catAx>
      <c:valAx>
        <c:axId val="1445717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457024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42C21-5B54-40D0-B056-35ABC405A56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685</Words>
  <Characters>3911</Characters>
  <Lines>32</Lines>
  <Paragraphs>9</Paragraphs>
  <TotalTime>134</TotalTime>
  <ScaleCrop>false</ScaleCrop>
  <LinksUpToDate>false</LinksUpToDate>
  <CharactersWithSpaces>4587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2018-07-30T04:07:00Z</dcterms:created>
  <dc:creator>Administrator</dc:creator>
  <cp:lastModifiedBy>蓝零</cp:lastModifiedBy>
  <cp:lastPrinted>2018-07-30T01:45:00Z</cp:lastPrinted>
  <dcterms:modified xsi:type="dcterms:W3CDTF">2019-11-27T06:29:38Z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